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A5" w:rsidRDefault="000331A5" w:rsidP="00783409">
      <w:pPr>
        <w:pStyle w:val="Default"/>
        <w:rPr>
          <w:rFonts w:ascii="Open Sans" w:hAnsi="Open Sans" w:cs="Open Sans"/>
          <w:b/>
          <w:bCs/>
          <w:sz w:val="60"/>
          <w:szCs w:val="60"/>
        </w:rPr>
      </w:pPr>
      <w:r>
        <w:rPr>
          <w:rFonts w:ascii="Open Sans" w:hAnsi="Open Sans" w:cs="Open Sans"/>
          <w:b/>
          <w:bCs/>
          <w:sz w:val="60"/>
          <w:szCs w:val="60"/>
        </w:rPr>
        <w:t>Vejledningens</w:t>
      </w:r>
      <w:r w:rsidR="00783409" w:rsidRPr="00783409">
        <w:rPr>
          <w:rFonts w:ascii="Open Sans" w:hAnsi="Open Sans" w:cs="Open Sans"/>
          <w:b/>
          <w:bCs/>
          <w:sz w:val="60"/>
          <w:szCs w:val="60"/>
        </w:rPr>
        <w:t xml:space="preserve"> Bilag F. </w:t>
      </w:r>
    </w:p>
    <w:p w:rsidR="00783409" w:rsidRDefault="00783409" w:rsidP="00783409">
      <w:pPr>
        <w:pStyle w:val="Default"/>
        <w:rPr>
          <w:rFonts w:ascii="Open Sans" w:hAnsi="Open Sans" w:cs="Open Sans"/>
          <w:b/>
          <w:bCs/>
          <w:sz w:val="60"/>
          <w:szCs w:val="60"/>
        </w:rPr>
      </w:pPr>
      <w:r w:rsidRPr="00783409">
        <w:rPr>
          <w:rFonts w:ascii="Open Sans" w:hAnsi="Open Sans" w:cs="Open Sans"/>
          <w:b/>
          <w:bCs/>
          <w:sz w:val="60"/>
          <w:szCs w:val="60"/>
        </w:rPr>
        <w:t xml:space="preserve">Kontrolparametre i et forsyningsanlægs ledningsnet </w:t>
      </w:r>
    </w:p>
    <w:p w:rsidR="00783409" w:rsidRDefault="00783409" w:rsidP="00783409">
      <w:pPr>
        <w:pStyle w:val="Default"/>
        <w:rPr>
          <w:rFonts w:ascii="Open Sans" w:hAnsi="Open Sans" w:cs="Open Sans"/>
          <w:b/>
          <w:bCs/>
          <w:sz w:val="30"/>
          <w:szCs w:val="30"/>
        </w:rPr>
      </w:pPr>
    </w:p>
    <w:p w:rsidR="00783409" w:rsidRDefault="00783409" w:rsidP="00783409">
      <w:pPr>
        <w:pStyle w:val="Default"/>
        <w:rPr>
          <w:rFonts w:ascii="Open Sans" w:hAnsi="Open Sans" w:cs="Open Sans"/>
          <w:b/>
          <w:bCs/>
          <w:sz w:val="30"/>
          <w:szCs w:val="30"/>
        </w:rPr>
      </w:pPr>
      <w:r w:rsidRPr="00783409">
        <w:rPr>
          <w:rFonts w:ascii="Open Sans" w:hAnsi="Open Sans" w:cs="Open Sans"/>
          <w:b/>
          <w:bCs/>
          <w:sz w:val="30"/>
          <w:szCs w:val="30"/>
        </w:rPr>
        <w:t>Parametre, som bør kontrolleres regelmæssigt i drikkevandet i forsyningsanlæggets ledningsnet (også forstået som ved indgang til ejendom).</w:t>
      </w:r>
    </w:p>
    <w:p w:rsidR="00E00B43" w:rsidRDefault="00E00B43" w:rsidP="00783409">
      <w:pPr>
        <w:pStyle w:val="Default"/>
        <w:rPr>
          <w:rFonts w:ascii="Open Sans" w:hAnsi="Open Sans" w:cs="Open Sans"/>
          <w:b/>
          <w:bCs/>
          <w:sz w:val="30"/>
          <w:szCs w:val="30"/>
        </w:rPr>
      </w:pPr>
      <w:r w:rsidRPr="00972A7D">
        <w:rPr>
          <w:rFonts w:ascii="Open Sans" w:hAnsi="Open Sans" w:cs="Open Sans"/>
          <w:b/>
          <w:bCs/>
          <w:sz w:val="30"/>
          <w:szCs w:val="30"/>
          <w:highlight w:val="yellow"/>
        </w:rPr>
        <w:t>Eller</w:t>
      </w:r>
      <w:r>
        <w:rPr>
          <w:rFonts w:ascii="Open Sans" w:hAnsi="Open Sans" w:cs="Open Sans"/>
          <w:b/>
          <w:bCs/>
          <w:sz w:val="30"/>
          <w:szCs w:val="30"/>
        </w:rPr>
        <w:t xml:space="preserve"> hos forbruger efter vandet har løbet i mindst 5 minutter</w:t>
      </w:r>
    </w:p>
    <w:p w:rsidR="00783409" w:rsidRPr="00783409" w:rsidRDefault="00783409" w:rsidP="00783409">
      <w:pPr>
        <w:pStyle w:val="Default"/>
        <w:rPr>
          <w:rFonts w:ascii="Open Sans" w:hAnsi="Open Sans" w:cs="Open San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17270"/>
      </w:tblGrid>
      <w:tr w:rsidR="00783409" w:rsidRPr="00783409" w:rsidTr="00783409">
        <w:trPr>
          <w:trHeight w:val="87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Kontrolparametre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Bemærkninger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Nitrit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Coliforme bakterier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Escherichia coli (E.coli)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Kimtal ved 22 ˚C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Enterokokker </w:t>
            </w:r>
          </w:p>
        </w:tc>
      </w:tr>
      <w:tr w:rsidR="00783409" w:rsidRPr="00783409" w:rsidTr="00783409">
        <w:trPr>
          <w:trHeight w:val="217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Clostridium perfringens, herunder sporer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Kontrolleres kun, hvis vandet hidrører fra eller påvirke af overfladevand </w:t>
            </w:r>
          </w:p>
        </w:tc>
      </w:tr>
      <w:tr w:rsidR="00783409" w:rsidRPr="00783409" w:rsidTr="00783409">
        <w:trPr>
          <w:trHeight w:val="346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Aluminium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Aluminium kan indgå i vandbehandlingsprodukter på et forsyningsanlæg og kan afsmitte fra anvendte materialer (beton og cement).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Arsen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Bly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Cadmium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Chrom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Kobber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Nikkel </w:t>
            </w:r>
          </w:p>
        </w:tc>
      </w:tr>
      <w:tr w:rsidR="00783409" w:rsidRPr="00783409" w:rsidTr="00783409">
        <w:trPr>
          <w:trHeight w:val="87"/>
        </w:trPr>
        <w:tc>
          <w:tcPr>
            <w:tcW w:w="21229" w:type="dxa"/>
            <w:gridSpan w:val="2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sz w:val="30"/>
                <w:szCs w:val="30"/>
              </w:rPr>
              <w:t xml:space="preserve">Zink </w:t>
            </w:r>
          </w:p>
        </w:tc>
      </w:tr>
      <w:tr w:rsidR="00783409" w:rsidRPr="00783409" w:rsidTr="00783409">
        <w:trPr>
          <w:trHeight w:val="218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Materiale monomerer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Relevante stoffer kontrolleres afhængigt af de anvendte rørmaterialer. </w:t>
            </w:r>
          </w:p>
        </w:tc>
      </w:tr>
      <w:tr w:rsidR="00783409" w:rsidRPr="00783409" w:rsidTr="00783409">
        <w:trPr>
          <w:trHeight w:val="348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Flygtige organiske chlorforbindelser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Kontrolleres, hvis forsyningsledning af plast går igennem arealer forurenet med organiske chlorforbindelser, f.eks. renserigrunde. </w:t>
            </w:r>
            <w:r w:rsidR="00E00B43" w:rsidRPr="00E00B43">
              <w:rPr>
                <w:rFonts w:ascii="Open Sans" w:hAnsi="Open Sans" w:cs="Open Sans"/>
                <w:b/>
                <w:sz w:val="30"/>
                <w:szCs w:val="30"/>
                <w:highlight w:val="yellow"/>
              </w:rPr>
              <w:t>Ikke relevant</w:t>
            </w:r>
          </w:p>
        </w:tc>
      </w:tr>
      <w:tr w:rsidR="00783409" w:rsidRPr="00783409" w:rsidTr="00783409">
        <w:trPr>
          <w:trHeight w:val="218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Benzen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Kontrolleres, hvis forsyningsledning af plast går igennem arealer forurenet med olieprodukter, f.eks. benzinstationer. </w:t>
            </w:r>
            <w:r w:rsidR="00E00B43" w:rsidRPr="00E00B43">
              <w:rPr>
                <w:rFonts w:ascii="Open Sans" w:hAnsi="Open Sans" w:cs="Open Sans"/>
                <w:b/>
                <w:sz w:val="30"/>
                <w:szCs w:val="30"/>
                <w:highlight w:val="yellow"/>
              </w:rPr>
              <w:t>Vandværker skal kontrollere på kort</w:t>
            </w:r>
          </w:p>
        </w:tc>
      </w:tr>
      <w:tr w:rsidR="00783409" w:rsidRPr="00783409" w:rsidTr="00783409">
        <w:trPr>
          <w:trHeight w:val="347"/>
        </w:trPr>
        <w:tc>
          <w:tcPr>
            <w:tcW w:w="3959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PAH-forbindelser </w:t>
            </w:r>
          </w:p>
        </w:tc>
        <w:tc>
          <w:tcPr>
            <w:tcW w:w="17270" w:type="dxa"/>
          </w:tcPr>
          <w:p w:rsidR="00783409" w:rsidRPr="00783409" w:rsidRDefault="00783409">
            <w:pPr>
              <w:pStyle w:val="Default"/>
              <w:rPr>
                <w:rFonts w:ascii="Open Sans" w:hAnsi="Open Sans" w:cs="Open Sans"/>
                <w:b/>
                <w:sz w:val="30"/>
                <w:szCs w:val="30"/>
              </w:rPr>
            </w:pPr>
            <w:r w:rsidRPr="00783409">
              <w:rPr>
                <w:rFonts w:ascii="Open Sans" w:hAnsi="Open Sans" w:cs="Open Sans"/>
                <w:b/>
                <w:sz w:val="30"/>
                <w:szCs w:val="30"/>
              </w:rPr>
              <w:t xml:space="preserve">PAH-forbindelser kan udelades af kontrollen, hvis det vides, at der i ledningsnettet ikke er rør, som er coatede med tjærestoffer. </w:t>
            </w:r>
          </w:p>
        </w:tc>
      </w:tr>
    </w:tbl>
    <w:p w:rsidR="00FB0D96" w:rsidRPr="00783409" w:rsidRDefault="00FB0D96" w:rsidP="00605D0D">
      <w:pPr>
        <w:rPr>
          <w:rFonts w:cs="Open Sans"/>
          <w:sz w:val="30"/>
          <w:szCs w:val="30"/>
        </w:rPr>
      </w:pPr>
      <w:bookmarkStart w:id="0" w:name="_GoBack"/>
      <w:bookmarkEnd w:id="0"/>
    </w:p>
    <w:sectPr w:rsidR="00FB0D96" w:rsidRPr="00783409" w:rsidSect="00783409"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09" w:rsidRDefault="00783409" w:rsidP="0073414C">
      <w:r>
        <w:separator/>
      </w:r>
    </w:p>
  </w:endnote>
  <w:endnote w:type="continuationSeparator" w:id="0">
    <w:p w:rsidR="00783409" w:rsidRDefault="00783409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09" w:rsidRDefault="00783409" w:rsidP="0073414C">
      <w:r>
        <w:separator/>
      </w:r>
    </w:p>
  </w:footnote>
  <w:footnote w:type="continuationSeparator" w:id="0">
    <w:p w:rsidR="00783409" w:rsidRDefault="00783409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9"/>
    <w:rsid w:val="000331A5"/>
    <w:rsid w:val="00114916"/>
    <w:rsid w:val="00165D33"/>
    <w:rsid w:val="001D296B"/>
    <w:rsid w:val="00605D0D"/>
    <w:rsid w:val="006576EB"/>
    <w:rsid w:val="0073414C"/>
    <w:rsid w:val="00783409"/>
    <w:rsid w:val="00884213"/>
    <w:rsid w:val="008D26DB"/>
    <w:rsid w:val="00972A7D"/>
    <w:rsid w:val="00B81A1B"/>
    <w:rsid w:val="00B95E67"/>
    <w:rsid w:val="00C66BDB"/>
    <w:rsid w:val="00C75EC1"/>
    <w:rsid w:val="00CB0236"/>
    <w:rsid w:val="00E00B43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F78"/>
  <w15:chartTrackingRefBased/>
  <w15:docId w15:val="{28EFF6CC-5F68-44DE-A790-1904D80A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paragraph" w:customStyle="1" w:styleId="Default">
    <w:name w:val="Default"/>
    <w:rsid w:val="0078340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0B4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0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9B72-09B1-4DCF-B8F0-932A349C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Kommune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Kristine Keiding - Thisted Kommune</dc:creator>
  <cp:keywords/>
  <dc:description/>
  <cp:lastModifiedBy>Anne Kristine Keiding - Thisted Kommune</cp:lastModifiedBy>
  <cp:revision>2</cp:revision>
  <cp:lastPrinted>2018-01-30T08:09:00Z</cp:lastPrinted>
  <dcterms:created xsi:type="dcterms:W3CDTF">2018-01-31T07:47:00Z</dcterms:created>
  <dcterms:modified xsi:type="dcterms:W3CDTF">2018-01-31T07:47:00Z</dcterms:modified>
</cp:coreProperties>
</file>